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3D7B" w14:textId="236AD337" w:rsidR="00DC10BB" w:rsidRPr="00A8647B" w:rsidRDefault="00C14DBF" w:rsidP="006A054A">
      <w:pPr>
        <w:spacing w:before="260" w:after="80"/>
        <w:jc w:val="center"/>
        <w:rPr>
          <w:rFonts w:cs="Times New Roman"/>
          <w:b/>
          <w:szCs w:val="24"/>
        </w:rPr>
      </w:pPr>
      <w:r w:rsidRPr="00A8647B">
        <w:rPr>
          <w:rFonts w:cs="Times New Roman"/>
          <w:b/>
          <w:szCs w:val="24"/>
        </w:rPr>
        <w:t>O</w:t>
      </w:r>
      <w:r w:rsidR="006A054A">
        <w:rPr>
          <w:rFonts w:cs="Times New Roman"/>
          <w:b/>
          <w:szCs w:val="24"/>
        </w:rPr>
        <w:t>ne</w:t>
      </w:r>
      <w:r w:rsidRPr="00A8647B">
        <w:rPr>
          <w:rFonts w:cs="Times New Roman"/>
          <w:b/>
          <w:szCs w:val="24"/>
        </w:rPr>
        <w:t xml:space="preserve"> F</w:t>
      </w:r>
      <w:r w:rsidR="006A054A">
        <w:rPr>
          <w:rFonts w:cs="Times New Roman"/>
          <w:b/>
          <w:szCs w:val="24"/>
        </w:rPr>
        <w:t>orecast</w:t>
      </w:r>
      <w:r w:rsidRPr="00A8647B">
        <w:rPr>
          <w:rFonts w:cs="Times New Roman"/>
          <w:b/>
          <w:szCs w:val="24"/>
        </w:rPr>
        <w:t>, M</w:t>
      </w:r>
      <w:r w:rsidR="006A054A">
        <w:rPr>
          <w:rFonts w:cs="Times New Roman"/>
          <w:b/>
          <w:szCs w:val="24"/>
        </w:rPr>
        <w:t>any</w:t>
      </w:r>
      <w:r w:rsidRPr="00A8647B">
        <w:rPr>
          <w:rFonts w:cs="Times New Roman"/>
          <w:b/>
          <w:szCs w:val="24"/>
        </w:rPr>
        <w:t xml:space="preserve"> FARMS</w:t>
      </w:r>
      <w:r w:rsidR="006A054A">
        <w:rPr>
          <w:rFonts w:cs="Times New Roman"/>
          <w:b/>
          <w:szCs w:val="24"/>
        </w:rPr>
        <w:t xml:space="preserve">: </w:t>
      </w:r>
      <w:r w:rsidRPr="00A8647B">
        <w:rPr>
          <w:rFonts w:cs="Times New Roman"/>
          <w:b/>
          <w:szCs w:val="24"/>
        </w:rPr>
        <w:t>Why Hyperlocal Weather Advice Can Still Fail Farmers</w:t>
      </w:r>
    </w:p>
    <w:p w14:paraId="2964817C" w14:textId="77777777" w:rsidR="00DC10BB" w:rsidRPr="002708B6" w:rsidRDefault="00C14DBF">
      <w:pPr>
        <w:spacing w:after="200"/>
        <w:jc w:val="center"/>
        <w:rPr>
          <w:rFonts w:cs="Times New Roman"/>
          <w:szCs w:val="24"/>
        </w:rPr>
      </w:pPr>
      <w:r w:rsidRPr="002708B6">
        <w:rPr>
          <w:rFonts w:cs="Times New Roman"/>
          <w:b/>
          <w:color w:val="1D2A33"/>
          <w:szCs w:val="24"/>
        </w:rPr>
        <w:t>Dr. Chiranjit Mazumder</w:t>
      </w:r>
    </w:p>
    <w:p w14:paraId="222A75F5" w14:textId="77777777" w:rsidR="00C77B3A" w:rsidRDefault="00F43D3A">
      <w:pPr>
        <w:spacing w:after="0"/>
        <w:jc w:val="center"/>
      </w:pPr>
      <w:r>
        <w:rPr>
          <w:i/>
          <w:color w:val="1D2A33"/>
          <w:sz w:val="22"/>
        </w:rPr>
        <w:t>Scientist, Division of Agricultural Economics</w:t>
      </w:r>
    </w:p>
    <w:p w14:paraId="51FBFEA9" w14:textId="77777777" w:rsidR="00C77B3A" w:rsidRDefault="00F43D3A">
      <w:pPr>
        <w:spacing w:after="40"/>
        <w:jc w:val="center"/>
      </w:pPr>
      <w:r>
        <w:rPr>
          <w:i/>
          <w:color w:val="1D2A33"/>
          <w:sz w:val="22"/>
        </w:rPr>
        <w:t>ICAR-Indian Agricultural Research Institute, New Delhi 110012, India</w:t>
      </w:r>
    </w:p>
    <w:p w14:paraId="4B657E3F" w14:textId="7A85D2FD" w:rsidR="00C77B3A" w:rsidRDefault="00F43D3A">
      <w:pPr>
        <w:spacing w:after="200"/>
        <w:jc w:val="center"/>
      </w:pPr>
      <w:r>
        <w:rPr>
          <w:i/>
          <w:color w:val="1D2A33"/>
          <w:sz w:val="21"/>
        </w:rPr>
        <w:t>Corresponding auth</w:t>
      </w:r>
      <w:r w:rsidR="00101606">
        <w:rPr>
          <w:i/>
          <w:color w:val="1D2A33"/>
          <w:sz w:val="21"/>
        </w:rPr>
        <w:t xml:space="preserve">or </w:t>
      </w:r>
      <w:r>
        <w:rPr>
          <w:i/>
          <w:color w:val="1D2A33"/>
          <w:sz w:val="21"/>
        </w:rPr>
        <w:t xml:space="preserve">Email: </w:t>
      </w:r>
      <w:r w:rsidR="00DC0890">
        <w:rPr>
          <w:i/>
          <w:color w:val="1D2A33"/>
          <w:sz w:val="21"/>
        </w:rPr>
        <w:t>majumder.chira@gmail.com</w:t>
      </w:r>
    </w:p>
    <w:p w14:paraId="0FA92376" w14:textId="77777777" w:rsidR="00C77B3A" w:rsidRDefault="00F43D3A">
      <w:pPr>
        <w:spacing w:before="80" w:after="80"/>
      </w:pPr>
      <w:r>
        <w:rPr>
          <w:b/>
          <w:color w:val="18515C"/>
        </w:rPr>
        <w:t>Abstract</w:t>
      </w:r>
    </w:p>
    <w:p w14:paraId="66C220E9" w14:textId="354052B3" w:rsidR="00C77B3A" w:rsidRDefault="00F43D3A">
      <w:pPr>
        <w:spacing w:after="160"/>
      </w:pPr>
      <w:r>
        <w:rPr>
          <w:sz w:val="22"/>
        </w:rPr>
        <w:t xml:space="preserve">Hyperlocal weather forecasting is rapidly becoming more precise, timely and accessible to farmers, but greater spatial resolution does not automatically produce better farm decisions. The same rainfall forecast can imply very different risks for </w:t>
      </w:r>
      <w:r w:rsidR="00101606">
        <w:rPr>
          <w:sz w:val="22"/>
        </w:rPr>
        <w:t>neighboring</w:t>
      </w:r>
      <w:r>
        <w:rPr>
          <w:sz w:val="22"/>
        </w:rPr>
        <w:t xml:space="preserve"> farms because crops, growth stages, soils, drainage, irrigation access, labour availability and recent field operations differ. This article explains why the crucial gap lies between predicting weather and translating uncertain forecasts into feasible, farm-specific actions. Drawing on India's agrometeorological advisory system and recent evidence on forecast verification and farmer response, it highlights observation, model, translation, communication, feasibility and feedback failures that can weaken oth</w:t>
      </w:r>
      <w:r>
        <w:rPr>
          <w:sz w:val="22"/>
        </w:rPr>
        <w:t>erwise useful forecasts. It argues for a shift from forecast delivery to decision-ready services that combine probabilistic information with crop and farm context, conditional recommendations, consequence-based warnings, local intelligence and continuous verification. Hyperlocal forecasting can become a powerful public good when uncertainty is communicated honestly and advice is tailored to the farmer's actual exposure and capacity to act.</w:t>
      </w:r>
    </w:p>
    <w:p w14:paraId="40756994" w14:textId="77777777" w:rsidR="00C77B3A" w:rsidRDefault="00F43D3A">
      <w:pPr>
        <w:spacing w:after="240"/>
      </w:pPr>
      <w:r>
        <w:rPr>
          <w:b/>
          <w:sz w:val="21"/>
        </w:rPr>
        <w:t xml:space="preserve">Keywords: </w:t>
      </w:r>
      <w:r>
        <w:rPr>
          <w:i/>
          <w:sz w:val="21"/>
        </w:rPr>
        <w:t>hyperlocal weather forecast; agrometeorological advisory; farm decision support; forecast uncertainty; climate services; India</w:t>
      </w:r>
    </w:p>
    <w:p w14:paraId="0F11B7CD"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The same message, three different risks</w:t>
      </w:r>
    </w:p>
    <w:p w14:paraId="35C4DE68" w14:textId="77777777" w:rsidR="00DC10BB" w:rsidRPr="002708B6" w:rsidRDefault="00C14DBF">
      <w:pPr>
        <w:rPr>
          <w:rFonts w:cs="Times New Roman"/>
          <w:szCs w:val="24"/>
        </w:rPr>
      </w:pPr>
      <w:r w:rsidRPr="002708B6">
        <w:rPr>
          <w:rFonts w:cs="Times New Roman"/>
          <w:szCs w:val="24"/>
        </w:rPr>
        <w:t>At 7:00 a.m., three farmers in the same block receive the same alert: “Moderate rainfall is likely during the next 48 hours. Postpone irrigation and pesticide spraying.” The first farmer has newly transplanted rice in a low-lying clay field. The second grows flowering vegetables on a raised sandy plot. The third has harvested mustard waiting under a temporary sheet. The forecast is identical; the exposure is not. Rain may save irrigation for the rice farmer, leave the vegetable field almost dry, and damage the mustard farmer’s marketable grain.</w:t>
      </w:r>
    </w:p>
    <w:p w14:paraId="5C9518B1" w14:textId="77777777" w:rsidR="00DC10BB" w:rsidRPr="002708B6" w:rsidRDefault="00C14DBF">
      <w:pPr>
        <w:rPr>
          <w:rFonts w:cs="Times New Roman"/>
          <w:szCs w:val="24"/>
        </w:rPr>
      </w:pPr>
      <w:r w:rsidRPr="002708B6">
        <w:rPr>
          <w:rFonts w:cs="Times New Roman"/>
          <w:szCs w:val="24"/>
        </w:rPr>
        <w:t>This is the paradox of hyperlocal weather advice. Forecasts are becoming faster, finer and increasingly supported by artificial intelligence. Yet a forecast attached to a village name or one-</w:t>
      </w:r>
      <w:proofErr w:type="spellStart"/>
      <w:r w:rsidRPr="002708B6">
        <w:rPr>
          <w:rFonts w:cs="Times New Roman"/>
          <w:szCs w:val="24"/>
        </w:rPr>
        <w:t>kilometre</w:t>
      </w:r>
      <w:proofErr w:type="spellEnd"/>
      <w:r w:rsidRPr="002708B6">
        <w:rPr>
          <w:rFonts w:cs="Times New Roman"/>
          <w:szCs w:val="24"/>
        </w:rPr>
        <w:t xml:space="preserve"> grid is still a description of the atmosphere—not a prescription for a farm. To become advice, it must pass through another layer of reasoning: What is growing? At what stage? In what soil? With what drainage, labour, irrigation and capacity to absorb a wrong decision?</w:t>
      </w:r>
    </w:p>
    <w:p w14:paraId="5EE12121"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India is entering the age of forecast-led farming</w:t>
      </w:r>
    </w:p>
    <w:p w14:paraId="7DC0DF3A" w14:textId="77777777" w:rsidR="00DC10BB" w:rsidRPr="002708B6" w:rsidRDefault="00C14DBF">
      <w:pPr>
        <w:rPr>
          <w:rFonts w:cs="Times New Roman"/>
          <w:szCs w:val="24"/>
        </w:rPr>
      </w:pPr>
      <w:r w:rsidRPr="002708B6">
        <w:rPr>
          <w:rFonts w:cs="Times New Roman"/>
          <w:szCs w:val="24"/>
        </w:rPr>
        <w:t>India already operates a vast public agrometeorological system. Under Gramin Krishi Mausam Sewa, the India Meteorological Department (IMD), ICAR institutions, agricultural universities and field units combine weather forecasts with crop information to issue district- and block-level advisories. IMD’s standard procedure calls for five-day quantitative forecasts of rainfall, maximum and minimum temperature, humidity, wind and cloud cover, with advisories issued twice weekly (India Meteorological Department [IMD], 2021).</w:t>
      </w:r>
    </w:p>
    <w:p w14:paraId="6B40B804" w14:textId="77777777" w:rsidR="00DC10BB" w:rsidRPr="002708B6" w:rsidRDefault="00C14DBF">
      <w:pPr>
        <w:rPr>
          <w:rFonts w:cs="Times New Roman"/>
          <w:szCs w:val="24"/>
        </w:rPr>
      </w:pPr>
      <w:r w:rsidRPr="002708B6">
        <w:rPr>
          <w:rFonts w:cs="Times New Roman"/>
          <w:szCs w:val="24"/>
        </w:rPr>
        <w:t xml:space="preserve">The system is now being augmented by AI and large-scale digital delivery. During Kharif 2025, a pilot blended </w:t>
      </w:r>
      <w:proofErr w:type="spellStart"/>
      <w:r w:rsidRPr="002708B6">
        <w:rPr>
          <w:rFonts w:cs="Times New Roman"/>
          <w:szCs w:val="24"/>
        </w:rPr>
        <w:t>NeuralGCM</w:t>
      </w:r>
      <w:proofErr w:type="spellEnd"/>
      <w:r w:rsidRPr="002708B6">
        <w:rPr>
          <w:rFonts w:cs="Times New Roman"/>
          <w:szCs w:val="24"/>
        </w:rPr>
        <w:t xml:space="preserve">, the European Centre for Medium-Range Weather Forecasts’ AI Forecasting System and 125 years of IMD rainfall data to predict local monsoon onset. Probabilistic </w:t>
      </w:r>
      <w:r w:rsidRPr="002708B6">
        <w:rPr>
          <w:rFonts w:cs="Times New Roman"/>
          <w:szCs w:val="24"/>
        </w:rPr>
        <w:lastRenderedPageBreak/>
        <w:t>messages reached more than 3.88 crore farmers across 13 states in five regional languages. Surveys in Madhya Pradesh and Bihar indicated that 31–52% of respondents changed land preparation, sowing time, crop choice or input decisions (Press Information Bureau [PIB], 2026).</w:t>
      </w:r>
    </w:p>
    <w:p w14:paraId="2CE06CB6" w14:textId="77777777" w:rsidR="00DC10BB" w:rsidRPr="002708B6" w:rsidRDefault="00C14DBF">
      <w:pPr>
        <w:rPr>
          <w:rFonts w:cs="Times New Roman"/>
          <w:szCs w:val="24"/>
        </w:rPr>
      </w:pPr>
      <w:r w:rsidRPr="002708B6">
        <w:rPr>
          <w:rFonts w:cs="Times New Roman"/>
          <w:szCs w:val="24"/>
        </w:rPr>
        <w:t>That reach is impressive. It also raises the stakes. A message that changes sowing can influence seed viability, labour expenditure and the entire cropping calendar. The relevant question is therefore no longer only “Can we forecast more locally?” It is “Can we convert uncertainty into safer, farm-specific choices?”</w:t>
      </w:r>
    </w:p>
    <w:p w14:paraId="38B75450"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Why hyperlocal can still miss the field</w:t>
      </w:r>
    </w:p>
    <w:p w14:paraId="6C2A64DD" w14:textId="77777777" w:rsidR="00DC10BB" w:rsidRPr="002708B6" w:rsidRDefault="00C14DBF">
      <w:pPr>
        <w:rPr>
          <w:rFonts w:cs="Times New Roman"/>
          <w:szCs w:val="24"/>
        </w:rPr>
      </w:pPr>
      <w:r w:rsidRPr="002708B6">
        <w:rPr>
          <w:rFonts w:cs="Times New Roman"/>
          <w:szCs w:val="24"/>
        </w:rPr>
        <w:t xml:space="preserve">Rainfall is spatially discontinuous. A convective cloud may release intense rain over one cluster of fields and leave another cluster a few </w:t>
      </w:r>
      <w:proofErr w:type="spellStart"/>
      <w:r w:rsidRPr="002708B6">
        <w:rPr>
          <w:rFonts w:cs="Times New Roman"/>
          <w:szCs w:val="24"/>
        </w:rPr>
        <w:t>kilometres</w:t>
      </w:r>
      <w:proofErr w:type="spellEnd"/>
      <w:r w:rsidRPr="002708B6">
        <w:rPr>
          <w:rFonts w:cs="Times New Roman"/>
          <w:szCs w:val="24"/>
        </w:rPr>
        <w:t xml:space="preserve"> away nearly dry. Hills, coastlines, urban surfaces, tree cover, canals and water bodies further alter local weather. A model can therefore be correct for a grid or block while being wrong at one farm.</w:t>
      </w:r>
    </w:p>
    <w:p w14:paraId="316C7064" w14:textId="77777777" w:rsidR="00DC10BB" w:rsidRPr="002708B6" w:rsidRDefault="00C14DBF">
      <w:pPr>
        <w:rPr>
          <w:rFonts w:cs="Times New Roman"/>
          <w:szCs w:val="24"/>
        </w:rPr>
      </w:pPr>
      <w:r w:rsidRPr="002708B6">
        <w:rPr>
          <w:rFonts w:cs="Times New Roman"/>
          <w:szCs w:val="24"/>
        </w:rPr>
        <w:t xml:space="preserve">The time scale matters as much as the map scale. “Twenty </w:t>
      </w:r>
      <w:proofErr w:type="spellStart"/>
      <w:r w:rsidRPr="002708B6">
        <w:rPr>
          <w:rFonts w:cs="Times New Roman"/>
          <w:szCs w:val="24"/>
        </w:rPr>
        <w:t>millimetres</w:t>
      </w:r>
      <w:proofErr w:type="spellEnd"/>
      <w:r w:rsidRPr="002708B6">
        <w:rPr>
          <w:rFonts w:cs="Times New Roman"/>
          <w:szCs w:val="24"/>
        </w:rPr>
        <w:t xml:space="preserve"> tomorrow” does not reveal whether rain will fall gently over six hours or arrive as a 30-minute burst. It does not say whether the event begins before a pesticide dries, after harvested grain is covered, or several hours later than expected. For many farm operations, timing within the day matters more than the daily total.</w:t>
      </w:r>
    </w:p>
    <w:p w14:paraId="28207AC8" w14:textId="77777777" w:rsidR="00DC10BB" w:rsidRPr="002708B6" w:rsidRDefault="00C14DBF">
      <w:pPr>
        <w:rPr>
          <w:rFonts w:cs="Times New Roman"/>
          <w:szCs w:val="24"/>
        </w:rPr>
      </w:pPr>
      <w:r w:rsidRPr="002708B6">
        <w:rPr>
          <w:rFonts w:cs="Times New Roman"/>
          <w:szCs w:val="24"/>
        </w:rPr>
        <w:t>Fine resolution can also create false confidence. Dividing a model output into smaller pixels produces more detail, but it cannot create observations where gauges, radar coverage or maintenance are inadequate. Downscaling is valuable, but the apparent precision of the display may exceed the precision of the underlying evidence.</w:t>
      </w:r>
    </w:p>
    <w:p w14:paraId="011304F4" w14:textId="4602F201" w:rsidR="00DC10BB" w:rsidRPr="002708B6" w:rsidRDefault="00DB10D5">
      <w:pPr>
        <w:spacing w:before="80" w:after="20"/>
        <w:jc w:val="center"/>
        <w:rPr>
          <w:rFonts w:cs="Times New Roman"/>
          <w:szCs w:val="24"/>
        </w:rPr>
      </w:pPr>
      <w:r>
        <w:rPr>
          <w:rFonts w:cs="Times New Roman"/>
          <w:noProof/>
          <w:szCs w:val="24"/>
        </w:rPr>
        <w:drawing>
          <wp:inline distT="0" distB="0" distL="0" distR="0" wp14:anchorId="14981E2A" wp14:editId="3DCBA005">
            <wp:extent cx="6298565" cy="3816350"/>
            <wp:effectExtent l="0" t="0" r="6985" b="0"/>
            <wp:docPr id="143528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577" cy="3838170"/>
                    </a:xfrm>
                    <a:prstGeom prst="rect">
                      <a:avLst/>
                    </a:prstGeom>
                    <a:noFill/>
                  </pic:spPr>
                </pic:pic>
              </a:graphicData>
            </a:graphic>
          </wp:inline>
        </w:drawing>
      </w:r>
    </w:p>
    <w:p w14:paraId="51B1C441" w14:textId="77777777" w:rsidR="00DC10BB" w:rsidRPr="002708B6" w:rsidRDefault="00C14DBF">
      <w:pPr>
        <w:spacing w:after="140"/>
        <w:jc w:val="center"/>
        <w:rPr>
          <w:rFonts w:cs="Times New Roman"/>
          <w:szCs w:val="24"/>
        </w:rPr>
      </w:pPr>
      <w:r w:rsidRPr="002708B6">
        <w:rPr>
          <w:rFonts w:cs="Times New Roman"/>
          <w:i/>
          <w:color w:val="647784"/>
          <w:szCs w:val="24"/>
        </w:rPr>
        <w:t xml:space="preserve">Figure 1. Three information layers between a weather forecast and a defensible farm action. Source: Author’s </w:t>
      </w:r>
      <w:proofErr w:type="spellStart"/>
      <w:r w:rsidRPr="002708B6">
        <w:rPr>
          <w:rFonts w:cs="Times New Roman"/>
          <w:i/>
          <w:color w:val="647784"/>
          <w:szCs w:val="24"/>
        </w:rPr>
        <w:t>conceptualisation</w:t>
      </w:r>
      <w:proofErr w:type="spellEnd"/>
      <w:r w:rsidRPr="002708B6">
        <w:rPr>
          <w:rFonts w:cs="Times New Roman"/>
          <w:i/>
          <w:color w:val="647784"/>
          <w:szCs w:val="24"/>
        </w:rPr>
        <w:t>.</w:t>
      </w:r>
    </w:p>
    <w:p w14:paraId="2BC2D39F"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lastRenderedPageBreak/>
        <w:t>Accuracy is necessary—but economic value is different</w:t>
      </w:r>
    </w:p>
    <w:p w14:paraId="6C3D502D" w14:textId="77777777" w:rsidR="00DC10BB" w:rsidRPr="002708B6" w:rsidRDefault="00C14DBF">
      <w:pPr>
        <w:rPr>
          <w:rFonts w:cs="Times New Roman"/>
          <w:szCs w:val="24"/>
        </w:rPr>
      </w:pPr>
      <w:r w:rsidRPr="002708B6">
        <w:rPr>
          <w:rFonts w:cs="Times New Roman"/>
          <w:szCs w:val="24"/>
        </w:rPr>
        <w:t>Forecast verification asks whether an event was correctly predicted. Farmers ask a different question: did acting on the information improve the result? A forecast can score reasonably well and still have little value if it arrives late, uses unclear language or recommends an action whose cost exceeds the avoided loss. Conversely, a forecast with modest accuracy may be valuable when it triggers a cheap, reversible precaution.</w:t>
      </w:r>
    </w:p>
    <w:p w14:paraId="0739D140" w14:textId="77777777" w:rsidR="00DC10BB" w:rsidRPr="002708B6" w:rsidRDefault="00C14DBF">
      <w:pPr>
        <w:rPr>
          <w:rFonts w:cs="Times New Roman"/>
          <w:szCs w:val="24"/>
        </w:rPr>
      </w:pPr>
      <w:r w:rsidRPr="002708B6">
        <w:rPr>
          <w:rFonts w:cs="Times New Roman"/>
          <w:szCs w:val="24"/>
        </w:rPr>
        <w:t xml:space="preserve">A Karnal district case study illustrates why a local label should not be confused with certainty. For the 2021 southwest monsoon, successful rainfall-forecast percentages across five blocks ranged from 59.4% in Karnal block to 65.3% in </w:t>
      </w:r>
      <w:proofErr w:type="spellStart"/>
      <w:r w:rsidRPr="002708B6">
        <w:rPr>
          <w:rFonts w:cs="Times New Roman"/>
          <w:szCs w:val="24"/>
        </w:rPr>
        <w:t>Nilokheri</w:t>
      </w:r>
      <w:proofErr w:type="spellEnd"/>
      <w:r w:rsidRPr="002708B6">
        <w:rPr>
          <w:rFonts w:cs="Times New Roman"/>
          <w:szCs w:val="24"/>
        </w:rPr>
        <w:t xml:space="preserve">. False-alarm ratios ranged from 40% to 48% (Kumar et al., 2024). These results do not represent all Indian forecasts; they show that skill can differ meaningfully even among </w:t>
      </w:r>
      <w:proofErr w:type="spellStart"/>
      <w:r w:rsidRPr="002708B6">
        <w:rPr>
          <w:rFonts w:cs="Times New Roman"/>
          <w:szCs w:val="24"/>
        </w:rPr>
        <w:t>neighbouring</w:t>
      </w:r>
      <w:proofErr w:type="spellEnd"/>
      <w:r w:rsidRPr="002708B6">
        <w:rPr>
          <w:rFonts w:cs="Times New Roman"/>
          <w:szCs w:val="24"/>
        </w:rPr>
        <w:t xml:space="preserve"> blocks and that a user must understand both missed events and false alarms.</w:t>
      </w:r>
    </w:p>
    <w:p w14:paraId="501D4450" w14:textId="77777777" w:rsidR="00DC10BB" w:rsidRPr="002708B6" w:rsidRDefault="00C14DBF">
      <w:pPr>
        <w:rPr>
          <w:rFonts w:cs="Times New Roman"/>
          <w:szCs w:val="24"/>
        </w:rPr>
      </w:pPr>
      <w:r w:rsidRPr="002708B6">
        <w:rPr>
          <w:rFonts w:cs="Times New Roman"/>
          <w:szCs w:val="24"/>
        </w:rPr>
        <w:t>The economic consequences are asymmetric. A false rain alarm may lead a farmer to postpone irrigation, spraying or harvesting. A missed rainfall event may wash away pesticide, waterlog a field or spoil produce. Which error matters more depends on crop stage and the relative costs. “Percentage correct” alone cannot answer that question.</w:t>
      </w:r>
    </w:p>
    <w:p w14:paraId="0DD29685" w14:textId="7D49F779" w:rsidR="00DC10BB" w:rsidRPr="002708B6" w:rsidRDefault="00B110FF">
      <w:pPr>
        <w:spacing w:before="80" w:after="20"/>
        <w:jc w:val="center"/>
        <w:rPr>
          <w:rFonts w:cs="Times New Roman"/>
          <w:szCs w:val="24"/>
        </w:rPr>
      </w:pPr>
      <w:r>
        <w:rPr>
          <w:rFonts w:cs="Times New Roman"/>
          <w:noProof/>
          <w:szCs w:val="24"/>
        </w:rPr>
        <w:drawing>
          <wp:inline distT="0" distB="0" distL="0" distR="0" wp14:anchorId="424C8779" wp14:editId="0BDD6FDD">
            <wp:extent cx="6354445" cy="3192905"/>
            <wp:effectExtent l="0" t="0" r="8255" b="7620"/>
            <wp:docPr id="429003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7167" cy="3209347"/>
                    </a:xfrm>
                    <a:prstGeom prst="rect">
                      <a:avLst/>
                    </a:prstGeom>
                    <a:noFill/>
                  </pic:spPr>
                </pic:pic>
              </a:graphicData>
            </a:graphic>
          </wp:inline>
        </w:drawing>
      </w:r>
    </w:p>
    <w:p w14:paraId="62E51D8B" w14:textId="77777777" w:rsidR="00DC10BB" w:rsidRPr="002708B6" w:rsidRDefault="00C14DBF">
      <w:pPr>
        <w:spacing w:after="140"/>
        <w:jc w:val="center"/>
        <w:rPr>
          <w:rFonts w:cs="Times New Roman"/>
          <w:szCs w:val="24"/>
        </w:rPr>
      </w:pPr>
      <w:r w:rsidRPr="002708B6">
        <w:rPr>
          <w:rFonts w:cs="Times New Roman"/>
          <w:i/>
          <w:color w:val="647784"/>
          <w:szCs w:val="24"/>
        </w:rPr>
        <w:t>Figure 2. Block-level rainfall-forecast verification in Karnal district, June–September 2021. Data: Kumar et al. (2024), Tables 1–2.</w:t>
      </w:r>
    </w:p>
    <w:p w14:paraId="0AAB444D"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Where the advisory chain breaks</w:t>
      </w:r>
    </w:p>
    <w:p w14:paraId="6767F98A"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Observation gap. </w:t>
      </w:r>
      <w:r w:rsidRPr="002708B6">
        <w:rPr>
          <w:rFonts w:cs="Times New Roman"/>
          <w:color w:val="1D2A33"/>
          <w:szCs w:val="24"/>
        </w:rPr>
        <w:t>Sparse or poorly maintained local stations make it difficult to represent and verify small-area rainfall. Satellite and radar products help, but they also have retrieval errors and require local validation.</w:t>
      </w:r>
    </w:p>
    <w:p w14:paraId="1ADD0C7C"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Model and lead-time error. </w:t>
      </w:r>
      <w:r w:rsidRPr="002708B6">
        <w:rPr>
          <w:rFonts w:cs="Times New Roman"/>
          <w:color w:val="1D2A33"/>
          <w:szCs w:val="24"/>
        </w:rPr>
        <w:t>The atmosphere is chaotic. Forecast uncertainty generally grows with lead time, while short-lived local storms remain difficult to place precisely.</w:t>
      </w:r>
    </w:p>
    <w:p w14:paraId="2D34B35C"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Translation error. </w:t>
      </w:r>
      <w:r w:rsidRPr="002708B6">
        <w:rPr>
          <w:rFonts w:cs="Times New Roman"/>
          <w:color w:val="1D2A33"/>
          <w:szCs w:val="24"/>
        </w:rPr>
        <w:t>A technically correct forecast becomes weak advice when crop stage, soil moisture, drainage, pest pressure or recent operations are missing.</w:t>
      </w:r>
    </w:p>
    <w:p w14:paraId="59D1A0BE" w14:textId="77777777" w:rsidR="00DC10BB" w:rsidRPr="002708B6" w:rsidRDefault="00C14DBF">
      <w:pPr>
        <w:pStyle w:val="ListBullet"/>
        <w:spacing w:after="100"/>
        <w:rPr>
          <w:rFonts w:cs="Times New Roman"/>
          <w:szCs w:val="24"/>
        </w:rPr>
      </w:pPr>
      <w:r w:rsidRPr="002708B6">
        <w:rPr>
          <w:rFonts w:cs="Times New Roman"/>
          <w:b/>
          <w:color w:val="15324A"/>
          <w:szCs w:val="24"/>
        </w:rPr>
        <w:lastRenderedPageBreak/>
        <w:t xml:space="preserve">Communication error. </w:t>
      </w:r>
      <w:r w:rsidRPr="002708B6">
        <w:rPr>
          <w:rFonts w:cs="Times New Roman"/>
          <w:color w:val="1D2A33"/>
          <w:szCs w:val="24"/>
        </w:rPr>
        <w:t>“Rain likely” is often heard as “rain will occur.” Probability, expected range, timing and the possibility of change are rarely conveyed together in plain language.</w:t>
      </w:r>
    </w:p>
    <w:p w14:paraId="5A108E6F"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Feasibility error. </w:t>
      </w:r>
      <w:r w:rsidRPr="002708B6">
        <w:rPr>
          <w:rFonts w:cs="Times New Roman"/>
          <w:color w:val="1D2A33"/>
          <w:szCs w:val="24"/>
        </w:rPr>
        <w:t>Advice may assume that labour, machinery, irrigation, drainage, credit or storage can be rearranged immediately. Many smallholders cannot act on demand.</w:t>
      </w:r>
    </w:p>
    <w:p w14:paraId="48352A5D"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Learning failure. </w:t>
      </w:r>
      <w:r w:rsidRPr="002708B6">
        <w:rPr>
          <w:rFonts w:cs="Times New Roman"/>
          <w:color w:val="1D2A33"/>
          <w:szCs w:val="24"/>
        </w:rPr>
        <w:t>If services count messages sent but do not record who understood, acted, benefited or lost, the same weak recommendation can be repeated season after season.</w:t>
      </w:r>
    </w:p>
    <w:p w14:paraId="3AA71D28" w14:textId="77777777" w:rsidR="00DC10BB" w:rsidRPr="002708B6" w:rsidRDefault="00C14DBF">
      <w:pPr>
        <w:rPr>
          <w:rFonts w:cs="Times New Roman"/>
          <w:szCs w:val="24"/>
        </w:rPr>
      </w:pPr>
      <w:r w:rsidRPr="002708B6">
        <w:rPr>
          <w:rFonts w:cs="Times New Roman"/>
          <w:szCs w:val="24"/>
        </w:rPr>
        <w:t>Evidence from 612 farm households in Pakistan reinforces this distinction. Although more than half reported using weather and climate information, the estimated effects on revenue, costs, profits and input use were statistically insignificant. Farmers cited unreliable, unclear information and insufficient use of local languages (Nepal et al., 2024). Distribution is therefore not the same as decision support.</w:t>
      </w:r>
    </w:p>
    <w:p w14:paraId="38166C89"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One forecast can rationally produce opposite actions</w:t>
      </w:r>
    </w:p>
    <w:tbl>
      <w:tblPr>
        <w:tblW w:w="0" w:type="auto"/>
        <w:jc w:val="center"/>
        <w:tblLayout w:type="fixed"/>
        <w:tblLook w:val="04A0" w:firstRow="1" w:lastRow="0" w:firstColumn="1" w:lastColumn="0" w:noHBand="0" w:noVBand="1"/>
      </w:tblPr>
      <w:tblGrid>
        <w:gridCol w:w="1800"/>
        <w:gridCol w:w="2376"/>
        <w:gridCol w:w="2664"/>
        <w:gridCol w:w="2880"/>
      </w:tblGrid>
      <w:tr w:rsidR="00DC10BB" w:rsidRPr="002708B6" w14:paraId="2AACCF04" w14:textId="77777777">
        <w:trPr>
          <w:jc w:val="center"/>
        </w:trPr>
        <w:tc>
          <w:tcPr>
            <w:tcW w:w="1800" w:type="dxa"/>
            <w:shd w:val="clear" w:color="auto" w:fill="15324A"/>
            <w:tcMar>
              <w:top w:w="100" w:type="dxa"/>
              <w:left w:w="120" w:type="dxa"/>
              <w:bottom w:w="100" w:type="dxa"/>
              <w:right w:w="120" w:type="dxa"/>
            </w:tcMar>
            <w:vAlign w:val="center"/>
          </w:tcPr>
          <w:p w14:paraId="4F4E97EA" w14:textId="77777777" w:rsidR="00DC10BB" w:rsidRPr="002708B6" w:rsidRDefault="00C14DBF">
            <w:pPr>
              <w:spacing w:after="0" w:line="252" w:lineRule="auto"/>
              <w:jc w:val="center"/>
              <w:rPr>
                <w:rFonts w:cs="Times New Roman"/>
                <w:szCs w:val="24"/>
              </w:rPr>
            </w:pPr>
            <w:r w:rsidRPr="002708B6">
              <w:rPr>
                <w:rFonts w:cs="Times New Roman"/>
                <w:b/>
                <w:color w:val="FFFFFF"/>
                <w:szCs w:val="24"/>
              </w:rPr>
              <w:t>Farm situation</w:t>
            </w:r>
          </w:p>
        </w:tc>
        <w:tc>
          <w:tcPr>
            <w:tcW w:w="2376" w:type="dxa"/>
            <w:shd w:val="clear" w:color="auto" w:fill="15324A"/>
            <w:tcMar>
              <w:top w:w="100" w:type="dxa"/>
              <w:left w:w="120" w:type="dxa"/>
              <w:bottom w:w="100" w:type="dxa"/>
              <w:right w:w="120" w:type="dxa"/>
            </w:tcMar>
            <w:vAlign w:val="center"/>
          </w:tcPr>
          <w:p w14:paraId="1526C52D" w14:textId="77777777" w:rsidR="00DC10BB" w:rsidRPr="002708B6" w:rsidRDefault="00C14DBF">
            <w:pPr>
              <w:spacing w:after="0" w:line="252" w:lineRule="auto"/>
              <w:jc w:val="center"/>
              <w:rPr>
                <w:rFonts w:cs="Times New Roman"/>
                <w:szCs w:val="24"/>
              </w:rPr>
            </w:pPr>
            <w:r w:rsidRPr="002708B6">
              <w:rPr>
                <w:rFonts w:cs="Times New Roman"/>
                <w:b/>
                <w:color w:val="FFFFFF"/>
                <w:szCs w:val="24"/>
              </w:rPr>
              <w:t>Main exposure</w:t>
            </w:r>
          </w:p>
        </w:tc>
        <w:tc>
          <w:tcPr>
            <w:tcW w:w="2664" w:type="dxa"/>
            <w:shd w:val="clear" w:color="auto" w:fill="15324A"/>
            <w:tcMar>
              <w:top w:w="100" w:type="dxa"/>
              <w:left w:w="120" w:type="dxa"/>
              <w:bottom w:w="100" w:type="dxa"/>
              <w:right w:w="120" w:type="dxa"/>
            </w:tcMar>
            <w:vAlign w:val="center"/>
          </w:tcPr>
          <w:p w14:paraId="0B6708AC" w14:textId="77777777" w:rsidR="00DC10BB" w:rsidRPr="002708B6" w:rsidRDefault="00C14DBF">
            <w:pPr>
              <w:spacing w:after="0" w:line="252" w:lineRule="auto"/>
              <w:jc w:val="center"/>
              <w:rPr>
                <w:rFonts w:cs="Times New Roman"/>
                <w:szCs w:val="24"/>
              </w:rPr>
            </w:pPr>
            <w:r w:rsidRPr="002708B6">
              <w:rPr>
                <w:rFonts w:cs="Times New Roman"/>
                <w:b/>
                <w:color w:val="FFFFFF"/>
                <w:szCs w:val="24"/>
              </w:rPr>
              <w:t>Rational response</w:t>
            </w:r>
          </w:p>
        </w:tc>
        <w:tc>
          <w:tcPr>
            <w:tcW w:w="2880" w:type="dxa"/>
            <w:shd w:val="clear" w:color="auto" w:fill="15324A"/>
            <w:tcMar>
              <w:top w:w="100" w:type="dxa"/>
              <w:left w:w="120" w:type="dxa"/>
              <w:bottom w:w="100" w:type="dxa"/>
              <w:right w:w="120" w:type="dxa"/>
            </w:tcMar>
            <w:vAlign w:val="center"/>
          </w:tcPr>
          <w:p w14:paraId="0AC4603E" w14:textId="77777777" w:rsidR="00DC10BB" w:rsidRPr="002708B6" w:rsidRDefault="00C14DBF">
            <w:pPr>
              <w:spacing w:after="0" w:line="252" w:lineRule="auto"/>
              <w:jc w:val="center"/>
              <w:rPr>
                <w:rFonts w:cs="Times New Roman"/>
                <w:szCs w:val="24"/>
              </w:rPr>
            </w:pPr>
            <w:r w:rsidRPr="002708B6">
              <w:rPr>
                <w:rFonts w:cs="Times New Roman"/>
                <w:b/>
                <w:color w:val="FFFFFF"/>
                <w:szCs w:val="24"/>
              </w:rPr>
              <w:t>Information still needed</w:t>
            </w:r>
          </w:p>
        </w:tc>
      </w:tr>
      <w:tr w:rsidR="00DC10BB" w:rsidRPr="002708B6" w14:paraId="268935B8" w14:textId="77777777">
        <w:trPr>
          <w:jc w:val="center"/>
        </w:trPr>
        <w:tc>
          <w:tcPr>
            <w:tcW w:w="1800" w:type="dxa"/>
            <w:shd w:val="clear" w:color="auto" w:fill="F2F6F8"/>
            <w:tcMar>
              <w:top w:w="100" w:type="dxa"/>
              <w:left w:w="120" w:type="dxa"/>
              <w:bottom w:w="100" w:type="dxa"/>
              <w:right w:w="120" w:type="dxa"/>
            </w:tcMar>
            <w:vAlign w:val="center"/>
          </w:tcPr>
          <w:p w14:paraId="428E918A" w14:textId="77777777" w:rsidR="00DC10BB" w:rsidRPr="002708B6" w:rsidRDefault="00C14DBF">
            <w:pPr>
              <w:spacing w:after="0" w:line="252" w:lineRule="auto"/>
              <w:jc w:val="left"/>
              <w:rPr>
                <w:rFonts w:cs="Times New Roman"/>
                <w:szCs w:val="24"/>
              </w:rPr>
            </w:pPr>
            <w:r w:rsidRPr="002708B6">
              <w:rPr>
                <w:rFonts w:cs="Times New Roman"/>
                <w:color w:val="1D2A33"/>
                <w:szCs w:val="24"/>
              </w:rPr>
              <w:t>Transplanted rice; low field</w:t>
            </w:r>
          </w:p>
        </w:tc>
        <w:tc>
          <w:tcPr>
            <w:tcW w:w="2376" w:type="dxa"/>
            <w:shd w:val="clear" w:color="auto" w:fill="F2F6F8"/>
            <w:tcMar>
              <w:top w:w="100" w:type="dxa"/>
              <w:left w:w="120" w:type="dxa"/>
              <w:bottom w:w="100" w:type="dxa"/>
              <w:right w:w="120" w:type="dxa"/>
            </w:tcMar>
            <w:vAlign w:val="center"/>
          </w:tcPr>
          <w:p w14:paraId="727220BD" w14:textId="77777777" w:rsidR="00DC10BB" w:rsidRPr="002708B6" w:rsidRDefault="00C14DBF">
            <w:pPr>
              <w:spacing w:after="0" w:line="252" w:lineRule="auto"/>
              <w:jc w:val="left"/>
              <w:rPr>
                <w:rFonts w:cs="Times New Roman"/>
                <w:szCs w:val="24"/>
              </w:rPr>
            </w:pPr>
            <w:r w:rsidRPr="002708B6">
              <w:rPr>
                <w:rFonts w:cs="Times New Roman"/>
                <w:color w:val="1D2A33"/>
                <w:szCs w:val="24"/>
              </w:rPr>
              <w:t>Waterlogging after additional rain</w:t>
            </w:r>
          </w:p>
        </w:tc>
        <w:tc>
          <w:tcPr>
            <w:tcW w:w="2664" w:type="dxa"/>
            <w:shd w:val="clear" w:color="auto" w:fill="F2F6F8"/>
            <w:tcMar>
              <w:top w:w="100" w:type="dxa"/>
              <w:left w:w="120" w:type="dxa"/>
              <w:bottom w:w="100" w:type="dxa"/>
              <w:right w:w="120" w:type="dxa"/>
            </w:tcMar>
            <w:vAlign w:val="center"/>
          </w:tcPr>
          <w:p w14:paraId="1F5EE90D" w14:textId="77777777" w:rsidR="00DC10BB" w:rsidRPr="002708B6" w:rsidRDefault="00C14DBF">
            <w:pPr>
              <w:spacing w:after="0" w:line="252" w:lineRule="auto"/>
              <w:jc w:val="left"/>
              <w:rPr>
                <w:rFonts w:cs="Times New Roman"/>
                <w:szCs w:val="24"/>
              </w:rPr>
            </w:pPr>
            <w:r w:rsidRPr="002708B6">
              <w:rPr>
                <w:rFonts w:cs="Times New Roman"/>
                <w:color w:val="1D2A33"/>
                <w:szCs w:val="24"/>
              </w:rPr>
              <w:t>Skip irrigation; open drainage</w:t>
            </w:r>
          </w:p>
        </w:tc>
        <w:tc>
          <w:tcPr>
            <w:tcW w:w="2880" w:type="dxa"/>
            <w:shd w:val="clear" w:color="auto" w:fill="F2F6F8"/>
            <w:tcMar>
              <w:top w:w="100" w:type="dxa"/>
              <w:left w:w="120" w:type="dxa"/>
              <w:bottom w:w="100" w:type="dxa"/>
              <w:right w:w="120" w:type="dxa"/>
            </w:tcMar>
            <w:vAlign w:val="center"/>
          </w:tcPr>
          <w:p w14:paraId="171F4AE7" w14:textId="77777777" w:rsidR="00DC10BB" w:rsidRPr="002708B6" w:rsidRDefault="00C14DBF">
            <w:pPr>
              <w:spacing w:after="0" w:line="252" w:lineRule="auto"/>
              <w:jc w:val="left"/>
              <w:rPr>
                <w:rFonts w:cs="Times New Roman"/>
                <w:szCs w:val="24"/>
              </w:rPr>
            </w:pPr>
            <w:r w:rsidRPr="002708B6">
              <w:rPr>
                <w:rFonts w:cs="Times New Roman"/>
                <w:color w:val="1D2A33"/>
                <w:szCs w:val="24"/>
              </w:rPr>
              <w:t>Current ponding, bund height, outlet</w:t>
            </w:r>
          </w:p>
        </w:tc>
      </w:tr>
      <w:tr w:rsidR="00DC10BB" w:rsidRPr="002708B6" w14:paraId="2426CF9C" w14:textId="77777777">
        <w:trPr>
          <w:jc w:val="center"/>
        </w:trPr>
        <w:tc>
          <w:tcPr>
            <w:tcW w:w="1800" w:type="dxa"/>
            <w:shd w:val="clear" w:color="auto" w:fill="FFFFFF"/>
            <w:tcMar>
              <w:top w:w="100" w:type="dxa"/>
              <w:left w:w="120" w:type="dxa"/>
              <w:bottom w:w="100" w:type="dxa"/>
              <w:right w:w="120" w:type="dxa"/>
            </w:tcMar>
            <w:vAlign w:val="center"/>
          </w:tcPr>
          <w:p w14:paraId="78DE975A" w14:textId="77777777" w:rsidR="00DC10BB" w:rsidRPr="002708B6" w:rsidRDefault="00C14DBF">
            <w:pPr>
              <w:spacing w:after="0" w:line="252" w:lineRule="auto"/>
              <w:jc w:val="left"/>
              <w:rPr>
                <w:rFonts w:cs="Times New Roman"/>
                <w:szCs w:val="24"/>
              </w:rPr>
            </w:pPr>
            <w:r w:rsidRPr="002708B6">
              <w:rPr>
                <w:rFonts w:cs="Times New Roman"/>
                <w:color w:val="1D2A33"/>
                <w:szCs w:val="24"/>
              </w:rPr>
              <w:t>Flowering vegetables</w:t>
            </w:r>
          </w:p>
        </w:tc>
        <w:tc>
          <w:tcPr>
            <w:tcW w:w="2376" w:type="dxa"/>
            <w:shd w:val="clear" w:color="auto" w:fill="FFFFFF"/>
            <w:tcMar>
              <w:top w:w="100" w:type="dxa"/>
              <w:left w:w="120" w:type="dxa"/>
              <w:bottom w:w="100" w:type="dxa"/>
              <w:right w:w="120" w:type="dxa"/>
            </w:tcMar>
            <w:vAlign w:val="center"/>
          </w:tcPr>
          <w:p w14:paraId="0E614ACA" w14:textId="77777777" w:rsidR="00DC10BB" w:rsidRPr="002708B6" w:rsidRDefault="00C14DBF">
            <w:pPr>
              <w:spacing w:after="0" w:line="252" w:lineRule="auto"/>
              <w:jc w:val="left"/>
              <w:rPr>
                <w:rFonts w:cs="Times New Roman"/>
                <w:szCs w:val="24"/>
              </w:rPr>
            </w:pPr>
            <w:r w:rsidRPr="002708B6">
              <w:rPr>
                <w:rFonts w:cs="Times New Roman"/>
                <w:color w:val="1D2A33"/>
                <w:szCs w:val="24"/>
              </w:rPr>
              <w:t>Disease and spray wash-off</w:t>
            </w:r>
          </w:p>
        </w:tc>
        <w:tc>
          <w:tcPr>
            <w:tcW w:w="2664" w:type="dxa"/>
            <w:shd w:val="clear" w:color="auto" w:fill="FFFFFF"/>
            <w:tcMar>
              <w:top w:w="100" w:type="dxa"/>
              <w:left w:w="120" w:type="dxa"/>
              <w:bottom w:w="100" w:type="dxa"/>
              <w:right w:w="120" w:type="dxa"/>
            </w:tcMar>
            <w:vAlign w:val="center"/>
          </w:tcPr>
          <w:p w14:paraId="457EDADC" w14:textId="77777777" w:rsidR="00DC10BB" w:rsidRPr="002708B6" w:rsidRDefault="00C14DBF">
            <w:pPr>
              <w:spacing w:after="0" w:line="252" w:lineRule="auto"/>
              <w:jc w:val="left"/>
              <w:rPr>
                <w:rFonts w:cs="Times New Roman"/>
                <w:szCs w:val="24"/>
              </w:rPr>
            </w:pPr>
            <w:r w:rsidRPr="002708B6">
              <w:rPr>
                <w:rFonts w:cs="Times New Roman"/>
                <w:color w:val="1D2A33"/>
                <w:szCs w:val="24"/>
              </w:rPr>
              <w:t>Use a dry window or suitable formulation</w:t>
            </w:r>
          </w:p>
        </w:tc>
        <w:tc>
          <w:tcPr>
            <w:tcW w:w="2880" w:type="dxa"/>
            <w:shd w:val="clear" w:color="auto" w:fill="FFFFFF"/>
            <w:tcMar>
              <w:top w:w="100" w:type="dxa"/>
              <w:left w:w="120" w:type="dxa"/>
              <w:bottom w:w="100" w:type="dxa"/>
              <w:right w:w="120" w:type="dxa"/>
            </w:tcMar>
            <w:vAlign w:val="center"/>
          </w:tcPr>
          <w:p w14:paraId="2E9EFB98" w14:textId="77777777" w:rsidR="00DC10BB" w:rsidRPr="002708B6" w:rsidRDefault="00C14DBF">
            <w:pPr>
              <w:spacing w:after="0" w:line="252" w:lineRule="auto"/>
              <w:jc w:val="left"/>
              <w:rPr>
                <w:rFonts w:cs="Times New Roman"/>
                <w:szCs w:val="24"/>
              </w:rPr>
            </w:pPr>
            <w:r w:rsidRPr="002708B6">
              <w:rPr>
                <w:rFonts w:cs="Times New Roman"/>
                <w:color w:val="1D2A33"/>
                <w:szCs w:val="24"/>
              </w:rPr>
              <w:t>Pest pressure, drying time, rain timing</w:t>
            </w:r>
          </w:p>
        </w:tc>
      </w:tr>
      <w:tr w:rsidR="00DC10BB" w:rsidRPr="002708B6" w14:paraId="4B286F7E" w14:textId="77777777">
        <w:trPr>
          <w:jc w:val="center"/>
        </w:trPr>
        <w:tc>
          <w:tcPr>
            <w:tcW w:w="1800" w:type="dxa"/>
            <w:shd w:val="clear" w:color="auto" w:fill="F2F6F8"/>
            <w:tcMar>
              <w:top w:w="100" w:type="dxa"/>
              <w:left w:w="120" w:type="dxa"/>
              <w:bottom w:w="100" w:type="dxa"/>
              <w:right w:w="120" w:type="dxa"/>
            </w:tcMar>
            <w:vAlign w:val="center"/>
          </w:tcPr>
          <w:p w14:paraId="7FF761E5" w14:textId="77777777" w:rsidR="00DC10BB" w:rsidRPr="002708B6" w:rsidRDefault="00C14DBF">
            <w:pPr>
              <w:spacing w:after="0" w:line="252" w:lineRule="auto"/>
              <w:jc w:val="left"/>
              <w:rPr>
                <w:rFonts w:cs="Times New Roman"/>
                <w:szCs w:val="24"/>
              </w:rPr>
            </w:pPr>
            <w:r w:rsidRPr="002708B6">
              <w:rPr>
                <w:rFonts w:cs="Times New Roman"/>
                <w:color w:val="1D2A33"/>
                <w:szCs w:val="24"/>
              </w:rPr>
              <w:t>Harvested grain outdoors</w:t>
            </w:r>
          </w:p>
        </w:tc>
        <w:tc>
          <w:tcPr>
            <w:tcW w:w="2376" w:type="dxa"/>
            <w:shd w:val="clear" w:color="auto" w:fill="F2F6F8"/>
            <w:tcMar>
              <w:top w:w="100" w:type="dxa"/>
              <w:left w:w="120" w:type="dxa"/>
              <w:bottom w:w="100" w:type="dxa"/>
              <w:right w:w="120" w:type="dxa"/>
            </w:tcMar>
            <w:vAlign w:val="center"/>
          </w:tcPr>
          <w:p w14:paraId="5073804E" w14:textId="77777777" w:rsidR="00DC10BB" w:rsidRPr="002708B6" w:rsidRDefault="00C14DBF">
            <w:pPr>
              <w:spacing w:after="0" w:line="252" w:lineRule="auto"/>
              <w:jc w:val="left"/>
              <w:rPr>
                <w:rFonts w:cs="Times New Roman"/>
                <w:szCs w:val="24"/>
              </w:rPr>
            </w:pPr>
            <w:r w:rsidRPr="002708B6">
              <w:rPr>
                <w:rFonts w:cs="Times New Roman"/>
                <w:color w:val="1D2A33"/>
                <w:szCs w:val="24"/>
              </w:rPr>
              <w:t>Quality loss from even a short shower</w:t>
            </w:r>
          </w:p>
        </w:tc>
        <w:tc>
          <w:tcPr>
            <w:tcW w:w="2664" w:type="dxa"/>
            <w:shd w:val="clear" w:color="auto" w:fill="F2F6F8"/>
            <w:tcMar>
              <w:top w:w="100" w:type="dxa"/>
              <w:left w:w="120" w:type="dxa"/>
              <w:bottom w:w="100" w:type="dxa"/>
              <w:right w:w="120" w:type="dxa"/>
            </w:tcMar>
            <w:vAlign w:val="center"/>
          </w:tcPr>
          <w:p w14:paraId="7A0E22C0" w14:textId="77777777" w:rsidR="00DC10BB" w:rsidRPr="002708B6" w:rsidRDefault="00C14DBF">
            <w:pPr>
              <w:spacing w:after="0" w:line="252" w:lineRule="auto"/>
              <w:jc w:val="left"/>
              <w:rPr>
                <w:rFonts w:cs="Times New Roman"/>
                <w:szCs w:val="24"/>
              </w:rPr>
            </w:pPr>
            <w:r w:rsidRPr="002708B6">
              <w:rPr>
                <w:rFonts w:cs="Times New Roman"/>
                <w:color w:val="1D2A33"/>
                <w:szCs w:val="24"/>
              </w:rPr>
              <w:t>Cover or move produce first</w:t>
            </w:r>
          </w:p>
        </w:tc>
        <w:tc>
          <w:tcPr>
            <w:tcW w:w="2880" w:type="dxa"/>
            <w:shd w:val="clear" w:color="auto" w:fill="F2F6F8"/>
            <w:tcMar>
              <w:top w:w="100" w:type="dxa"/>
              <w:left w:w="120" w:type="dxa"/>
              <w:bottom w:w="100" w:type="dxa"/>
              <w:right w:w="120" w:type="dxa"/>
            </w:tcMar>
            <w:vAlign w:val="center"/>
          </w:tcPr>
          <w:p w14:paraId="0B58079B" w14:textId="77777777" w:rsidR="00DC10BB" w:rsidRPr="002708B6" w:rsidRDefault="00C14DBF">
            <w:pPr>
              <w:spacing w:after="0" w:line="252" w:lineRule="auto"/>
              <w:jc w:val="left"/>
              <w:rPr>
                <w:rFonts w:cs="Times New Roman"/>
                <w:szCs w:val="24"/>
              </w:rPr>
            </w:pPr>
            <w:r w:rsidRPr="002708B6">
              <w:rPr>
                <w:rFonts w:cs="Times New Roman"/>
                <w:color w:val="1D2A33"/>
                <w:szCs w:val="24"/>
              </w:rPr>
              <w:t>Storage, labour, transport</w:t>
            </w:r>
          </w:p>
        </w:tc>
      </w:tr>
      <w:tr w:rsidR="00DC10BB" w:rsidRPr="002708B6" w14:paraId="3A9CFAB0" w14:textId="77777777">
        <w:trPr>
          <w:jc w:val="center"/>
        </w:trPr>
        <w:tc>
          <w:tcPr>
            <w:tcW w:w="1800" w:type="dxa"/>
            <w:shd w:val="clear" w:color="auto" w:fill="FFFFFF"/>
            <w:tcMar>
              <w:top w:w="100" w:type="dxa"/>
              <w:left w:w="120" w:type="dxa"/>
              <w:bottom w:w="100" w:type="dxa"/>
              <w:right w:w="120" w:type="dxa"/>
            </w:tcMar>
            <w:vAlign w:val="center"/>
          </w:tcPr>
          <w:p w14:paraId="694A18BA" w14:textId="77777777" w:rsidR="00DC10BB" w:rsidRPr="002708B6" w:rsidRDefault="00C14DBF">
            <w:pPr>
              <w:spacing w:after="0" w:line="252" w:lineRule="auto"/>
              <w:jc w:val="left"/>
              <w:rPr>
                <w:rFonts w:cs="Times New Roman"/>
                <w:szCs w:val="24"/>
              </w:rPr>
            </w:pPr>
            <w:r w:rsidRPr="002708B6">
              <w:rPr>
                <w:rFonts w:cs="Times New Roman"/>
                <w:color w:val="1D2A33"/>
                <w:szCs w:val="24"/>
              </w:rPr>
              <w:t>Dryland seedbed</w:t>
            </w:r>
          </w:p>
        </w:tc>
        <w:tc>
          <w:tcPr>
            <w:tcW w:w="2376" w:type="dxa"/>
            <w:shd w:val="clear" w:color="auto" w:fill="FFFFFF"/>
            <w:tcMar>
              <w:top w:w="100" w:type="dxa"/>
              <w:left w:w="120" w:type="dxa"/>
              <w:bottom w:w="100" w:type="dxa"/>
              <w:right w:w="120" w:type="dxa"/>
            </w:tcMar>
            <w:vAlign w:val="center"/>
          </w:tcPr>
          <w:p w14:paraId="5AA37D3F" w14:textId="77777777" w:rsidR="00DC10BB" w:rsidRPr="002708B6" w:rsidRDefault="00C14DBF">
            <w:pPr>
              <w:spacing w:after="0" w:line="252" w:lineRule="auto"/>
              <w:jc w:val="left"/>
              <w:rPr>
                <w:rFonts w:cs="Times New Roman"/>
                <w:szCs w:val="24"/>
              </w:rPr>
            </w:pPr>
            <w:r w:rsidRPr="002708B6">
              <w:rPr>
                <w:rFonts w:cs="Times New Roman"/>
                <w:color w:val="1D2A33"/>
                <w:szCs w:val="24"/>
              </w:rPr>
              <w:t>Germination failure if rain is too little or isolated</w:t>
            </w:r>
          </w:p>
        </w:tc>
        <w:tc>
          <w:tcPr>
            <w:tcW w:w="2664" w:type="dxa"/>
            <w:shd w:val="clear" w:color="auto" w:fill="FFFFFF"/>
            <w:tcMar>
              <w:top w:w="100" w:type="dxa"/>
              <w:left w:w="120" w:type="dxa"/>
              <w:bottom w:w="100" w:type="dxa"/>
              <w:right w:w="120" w:type="dxa"/>
            </w:tcMar>
            <w:vAlign w:val="center"/>
          </w:tcPr>
          <w:p w14:paraId="4D08C662" w14:textId="77777777" w:rsidR="00DC10BB" w:rsidRPr="002708B6" w:rsidRDefault="00C14DBF">
            <w:pPr>
              <w:spacing w:after="0" w:line="252" w:lineRule="auto"/>
              <w:jc w:val="left"/>
              <w:rPr>
                <w:rFonts w:cs="Times New Roman"/>
                <w:szCs w:val="24"/>
              </w:rPr>
            </w:pPr>
            <w:r w:rsidRPr="002708B6">
              <w:rPr>
                <w:rFonts w:cs="Times New Roman"/>
                <w:color w:val="1D2A33"/>
                <w:szCs w:val="24"/>
              </w:rPr>
              <w:t>Prepare seed; sow only after threshold</w:t>
            </w:r>
          </w:p>
        </w:tc>
        <w:tc>
          <w:tcPr>
            <w:tcW w:w="2880" w:type="dxa"/>
            <w:shd w:val="clear" w:color="auto" w:fill="FFFFFF"/>
            <w:tcMar>
              <w:top w:w="100" w:type="dxa"/>
              <w:left w:w="120" w:type="dxa"/>
              <w:bottom w:w="100" w:type="dxa"/>
              <w:right w:w="120" w:type="dxa"/>
            </w:tcMar>
            <w:vAlign w:val="center"/>
          </w:tcPr>
          <w:p w14:paraId="64AF780A" w14:textId="77777777" w:rsidR="00DC10BB" w:rsidRPr="002708B6" w:rsidRDefault="00C14DBF">
            <w:pPr>
              <w:spacing w:after="0" w:line="252" w:lineRule="auto"/>
              <w:jc w:val="left"/>
              <w:rPr>
                <w:rFonts w:cs="Times New Roman"/>
                <w:szCs w:val="24"/>
              </w:rPr>
            </w:pPr>
            <w:r w:rsidRPr="002708B6">
              <w:rPr>
                <w:rFonts w:cs="Times New Roman"/>
                <w:color w:val="1D2A33"/>
                <w:szCs w:val="24"/>
              </w:rPr>
              <w:t>Root-zone moisture and follow-up rainfall</w:t>
            </w:r>
          </w:p>
        </w:tc>
      </w:tr>
    </w:tbl>
    <w:p w14:paraId="334A10B9" w14:textId="77777777" w:rsidR="00DC10BB" w:rsidRPr="002708B6" w:rsidRDefault="00C14DBF">
      <w:pPr>
        <w:spacing w:after="140"/>
        <w:jc w:val="center"/>
        <w:rPr>
          <w:rFonts w:cs="Times New Roman"/>
          <w:szCs w:val="24"/>
        </w:rPr>
      </w:pPr>
      <w:r w:rsidRPr="002708B6">
        <w:rPr>
          <w:rFonts w:cs="Times New Roman"/>
          <w:i/>
          <w:color w:val="647784"/>
          <w:szCs w:val="24"/>
        </w:rPr>
        <w:t>Table 1. The same atmospheric forecast can imply different actions because exposure, thresholds and constraints differ.</w:t>
      </w:r>
    </w:p>
    <w:p w14:paraId="3B705A6E" w14:textId="77777777"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From forecast delivery to decision service</w:t>
      </w:r>
    </w:p>
    <w:p w14:paraId="604A03E7" w14:textId="103DD623" w:rsidR="00DC10BB" w:rsidRPr="002708B6" w:rsidRDefault="009E7E44">
      <w:pPr>
        <w:spacing w:before="80" w:after="20"/>
        <w:jc w:val="center"/>
        <w:rPr>
          <w:rFonts w:cs="Times New Roman"/>
          <w:szCs w:val="24"/>
        </w:rPr>
      </w:pPr>
      <w:r>
        <w:rPr>
          <w:rFonts w:cs="Times New Roman"/>
          <w:noProof/>
          <w:szCs w:val="24"/>
        </w:rPr>
        <w:drawing>
          <wp:inline distT="0" distB="0" distL="0" distR="0" wp14:anchorId="0B774506" wp14:editId="1FA7D930">
            <wp:extent cx="6318516" cy="2783173"/>
            <wp:effectExtent l="0" t="0" r="6350" b="0"/>
            <wp:docPr id="12278629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6879" cy="2813286"/>
                    </a:xfrm>
                    <a:prstGeom prst="rect">
                      <a:avLst/>
                    </a:prstGeom>
                    <a:noFill/>
                  </pic:spPr>
                </pic:pic>
              </a:graphicData>
            </a:graphic>
          </wp:inline>
        </w:drawing>
      </w:r>
    </w:p>
    <w:p w14:paraId="12849BDF" w14:textId="77777777" w:rsidR="00DC10BB" w:rsidRPr="002708B6" w:rsidRDefault="00C14DBF">
      <w:pPr>
        <w:spacing w:after="140"/>
        <w:jc w:val="center"/>
        <w:rPr>
          <w:rFonts w:cs="Times New Roman"/>
          <w:szCs w:val="24"/>
        </w:rPr>
      </w:pPr>
      <w:r w:rsidRPr="002708B6">
        <w:rPr>
          <w:rFonts w:cs="Times New Roman"/>
          <w:i/>
          <w:color w:val="647784"/>
          <w:szCs w:val="24"/>
        </w:rPr>
        <w:t xml:space="preserve">Figure 3. A four-part architecture for decision-ready weather advice. Source: Author’s </w:t>
      </w:r>
      <w:proofErr w:type="spellStart"/>
      <w:r w:rsidRPr="002708B6">
        <w:rPr>
          <w:rFonts w:cs="Times New Roman"/>
          <w:i/>
          <w:color w:val="647784"/>
          <w:szCs w:val="24"/>
        </w:rPr>
        <w:t>conceptualisation</w:t>
      </w:r>
      <w:proofErr w:type="spellEnd"/>
      <w:r w:rsidRPr="002708B6">
        <w:rPr>
          <w:rFonts w:cs="Times New Roman"/>
          <w:i/>
          <w:color w:val="647784"/>
          <w:szCs w:val="24"/>
        </w:rPr>
        <w:t>.</w:t>
      </w:r>
    </w:p>
    <w:p w14:paraId="045C8385" w14:textId="77777777" w:rsidR="00DC10BB" w:rsidRPr="002708B6" w:rsidRDefault="00C14DBF">
      <w:pPr>
        <w:pStyle w:val="ListBullet"/>
        <w:spacing w:after="100"/>
        <w:rPr>
          <w:rFonts w:cs="Times New Roman"/>
          <w:szCs w:val="24"/>
        </w:rPr>
      </w:pPr>
      <w:proofErr w:type="spellStart"/>
      <w:r w:rsidRPr="002708B6">
        <w:rPr>
          <w:rFonts w:cs="Times New Roman"/>
          <w:b/>
          <w:color w:val="15324A"/>
          <w:szCs w:val="24"/>
        </w:rPr>
        <w:lastRenderedPageBreak/>
        <w:t>Personalise</w:t>
      </w:r>
      <w:proofErr w:type="spellEnd"/>
      <w:r w:rsidRPr="002708B6">
        <w:rPr>
          <w:rFonts w:cs="Times New Roman"/>
          <w:b/>
          <w:color w:val="15324A"/>
          <w:szCs w:val="24"/>
        </w:rPr>
        <w:t xml:space="preserve"> the situation, not merely the coordinate. </w:t>
      </w:r>
      <w:r w:rsidRPr="002708B6">
        <w:rPr>
          <w:rFonts w:cs="Times New Roman"/>
          <w:color w:val="1D2A33"/>
          <w:szCs w:val="24"/>
        </w:rPr>
        <w:t>A farmer profile should include crop, variety, sowing date, growth stage, soil type, soil moisture, irrigation, drainage and recent operations. The farmer must be able to correct these fields easily.</w:t>
      </w:r>
    </w:p>
    <w:p w14:paraId="6C2E400F"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Express uncertainty as a usable choice. </w:t>
      </w:r>
      <w:r w:rsidRPr="002708B6">
        <w:rPr>
          <w:rFonts w:cs="Times New Roman"/>
          <w:color w:val="1D2A33"/>
          <w:szCs w:val="24"/>
        </w:rPr>
        <w:t>Instead of “moderate rain expected,” say: “There is a 70% chance of 15–30 mm, mainly from afternoon to night; the timing may shift by 6–12 hours.” Then connect that uncertainty to low-regret actions.</w:t>
      </w:r>
    </w:p>
    <w:p w14:paraId="455C68E0"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Issue conditional recommendations. </w:t>
      </w:r>
      <w:r w:rsidRPr="002708B6">
        <w:rPr>
          <w:rFonts w:cs="Times New Roman"/>
          <w:color w:val="1D2A33"/>
          <w:szCs w:val="24"/>
        </w:rPr>
        <w:t xml:space="preserve">A short decision tree is safer than one universal command: if soil is already wet, clear drainage; if spraying is essential, use the identified dry window; if grain is harvested, </w:t>
      </w:r>
      <w:proofErr w:type="spellStart"/>
      <w:r w:rsidRPr="002708B6">
        <w:rPr>
          <w:rFonts w:cs="Times New Roman"/>
          <w:color w:val="1D2A33"/>
          <w:szCs w:val="24"/>
        </w:rPr>
        <w:t>prioritise</w:t>
      </w:r>
      <w:proofErr w:type="spellEnd"/>
      <w:r w:rsidRPr="002708B6">
        <w:rPr>
          <w:rFonts w:cs="Times New Roman"/>
          <w:color w:val="1D2A33"/>
          <w:szCs w:val="24"/>
        </w:rPr>
        <w:t xml:space="preserve"> protection.</w:t>
      </w:r>
    </w:p>
    <w:p w14:paraId="053022BC"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Match warnings to consequences. </w:t>
      </w:r>
      <w:r w:rsidRPr="002708B6">
        <w:rPr>
          <w:rFonts w:cs="Times New Roman"/>
          <w:color w:val="1D2A33"/>
          <w:szCs w:val="24"/>
        </w:rPr>
        <w:t>Sowing, spraying, irrigation, harvesting and livestock protection involve different losses. High-consequence decisions deserve more frequent updates, stronger validation and clear escalation to a human expert.</w:t>
      </w:r>
    </w:p>
    <w:p w14:paraId="22B1331B"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Combine AI with local intelligence. </w:t>
      </w:r>
      <w:r w:rsidRPr="002708B6">
        <w:rPr>
          <w:rFonts w:cs="Times New Roman"/>
          <w:color w:val="1D2A33"/>
          <w:szCs w:val="24"/>
        </w:rPr>
        <w:t>Extension workers, Krishi Vigyan Kendras, farmer groups and local observers can supply crop-stage, waterlogging, pest and outcome feedback that atmospheric models cannot infer reliably. WMO similarly stresses farmer participation in co-producing climate services (World Meteorological Organization [WMO], n.d.).</w:t>
      </w:r>
    </w:p>
    <w:p w14:paraId="03025E1E"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Verify both weather and advice. </w:t>
      </w:r>
      <w:r w:rsidRPr="002708B6">
        <w:rPr>
          <w:rFonts w:cs="Times New Roman"/>
          <w:color w:val="1D2A33"/>
          <w:szCs w:val="24"/>
        </w:rPr>
        <w:t xml:space="preserve">IMD procedures already </w:t>
      </w:r>
      <w:proofErr w:type="spellStart"/>
      <w:r w:rsidRPr="002708B6">
        <w:rPr>
          <w:rFonts w:cs="Times New Roman"/>
          <w:color w:val="1D2A33"/>
          <w:szCs w:val="24"/>
        </w:rPr>
        <w:t>recognise</w:t>
      </w:r>
      <w:proofErr w:type="spellEnd"/>
      <w:r w:rsidRPr="002708B6">
        <w:rPr>
          <w:rFonts w:cs="Times New Roman"/>
          <w:color w:val="1D2A33"/>
          <w:szCs w:val="24"/>
        </w:rPr>
        <w:t xml:space="preserve"> forecast verification. The next step is routine advisory verification: Was the message timely? Was it understood? Was the action feasible? What loss was avoided—or unintentionally created?</w:t>
      </w:r>
    </w:p>
    <w:p w14:paraId="0CE14712" w14:textId="77777777" w:rsidR="00DC10BB" w:rsidRPr="002708B6" w:rsidRDefault="00C14DBF">
      <w:pPr>
        <w:pStyle w:val="ListBullet"/>
        <w:spacing w:after="100"/>
        <w:rPr>
          <w:rFonts w:cs="Times New Roman"/>
          <w:szCs w:val="24"/>
        </w:rPr>
      </w:pPr>
      <w:r w:rsidRPr="002708B6">
        <w:rPr>
          <w:rFonts w:cs="Times New Roman"/>
          <w:b/>
          <w:color w:val="15324A"/>
          <w:szCs w:val="24"/>
        </w:rPr>
        <w:t xml:space="preserve">Keep accountable humans in the loop. </w:t>
      </w:r>
      <w:r w:rsidRPr="002708B6">
        <w:rPr>
          <w:rFonts w:cs="Times New Roman"/>
          <w:color w:val="1D2A33"/>
          <w:szCs w:val="24"/>
        </w:rPr>
        <w:t>IMD’s Mausam SANKALP seeks a shift from descriptive weather information toward crop-centric, risk-informed decision support and explicitly positions analytics as an aid to expert judgement (IMD, 2026). That principle should be non-negotiable for costly or irreversible recommendations.</w:t>
      </w:r>
    </w:p>
    <w:p w14:paraId="39702A6D" w14:textId="579A6D10"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 xml:space="preserve">The last </w:t>
      </w:r>
      <w:r w:rsidR="00922994" w:rsidRPr="002708B6">
        <w:rPr>
          <w:rFonts w:ascii="Times New Roman" w:hAnsi="Times New Roman" w:cs="Times New Roman"/>
          <w:sz w:val="24"/>
          <w:szCs w:val="24"/>
        </w:rPr>
        <w:t>kilometer</w:t>
      </w:r>
      <w:r w:rsidRPr="002708B6">
        <w:rPr>
          <w:rFonts w:ascii="Times New Roman" w:hAnsi="Times New Roman" w:cs="Times New Roman"/>
          <w:sz w:val="24"/>
          <w:szCs w:val="24"/>
        </w:rPr>
        <w:t xml:space="preserve"> is a reasoning </w:t>
      </w:r>
      <w:r w:rsidR="00922994" w:rsidRPr="002708B6">
        <w:rPr>
          <w:rFonts w:ascii="Times New Roman" w:hAnsi="Times New Roman" w:cs="Times New Roman"/>
          <w:sz w:val="24"/>
          <w:szCs w:val="24"/>
        </w:rPr>
        <w:t>kilometer</w:t>
      </w:r>
    </w:p>
    <w:p w14:paraId="1F185A80" w14:textId="77777777" w:rsidR="00DC10BB" w:rsidRPr="002708B6" w:rsidRDefault="00C14DBF">
      <w:pPr>
        <w:rPr>
          <w:rFonts w:cs="Times New Roman"/>
          <w:szCs w:val="24"/>
        </w:rPr>
      </w:pPr>
      <w:r w:rsidRPr="002708B6">
        <w:rPr>
          <w:rFonts w:cs="Times New Roman"/>
          <w:szCs w:val="24"/>
        </w:rPr>
        <w:t>Hyperlocal weather services remain a powerful public good. They can save irrigation, reduce wasted inputs, protect harvests and provide precious preparation time. The lesson is not that farmers should distrust forecasts whenever one storm is missed. Forecasts are probabilistic, and honest uncertainty can still produce better decisions.</w:t>
      </w:r>
    </w:p>
    <w:p w14:paraId="0454B2ED" w14:textId="77777777" w:rsidR="00DC10BB" w:rsidRPr="002708B6" w:rsidRDefault="00C14DBF">
      <w:pPr>
        <w:rPr>
          <w:rFonts w:cs="Times New Roman"/>
          <w:szCs w:val="24"/>
        </w:rPr>
      </w:pPr>
      <w:r w:rsidRPr="002708B6">
        <w:rPr>
          <w:rFonts w:cs="Times New Roman"/>
          <w:szCs w:val="24"/>
        </w:rPr>
        <w:t>The danger is precision theatre: a village label, sharp map or decimal value that appears more certain than the observations, model and farm context justify. Better technology must therefore be matched by better communication, local verification, economic reasoning and feedback from the people who act on the message.</w:t>
      </w:r>
    </w:p>
    <w:p w14:paraId="4060DA15" w14:textId="77777777" w:rsidR="00DC10BB" w:rsidRPr="002708B6" w:rsidRDefault="00C14DBF">
      <w:pPr>
        <w:rPr>
          <w:rFonts w:cs="Times New Roman"/>
          <w:szCs w:val="24"/>
        </w:rPr>
      </w:pPr>
      <w:r w:rsidRPr="002708B6">
        <w:rPr>
          <w:rFonts w:cs="Times New Roman"/>
          <w:szCs w:val="24"/>
        </w:rPr>
        <w:t>The success of agricultural weather services should finally be judged by more than reach. The decisive test is whether a particular farmer received enough context, enough warning and a feasible alternative to act wisely. One forecast may serve many farms. One instruction rarely should.</w:t>
      </w:r>
    </w:p>
    <w:p w14:paraId="5E9B2301" w14:textId="473E1FA3" w:rsidR="00DC10BB" w:rsidRPr="002708B6" w:rsidRDefault="00C14DBF">
      <w:pPr>
        <w:pStyle w:val="Heading1"/>
        <w:rPr>
          <w:rFonts w:ascii="Times New Roman" w:hAnsi="Times New Roman" w:cs="Times New Roman"/>
          <w:sz w:val="24"/>
          <w:szCs w:val="24"/>
        </w:rPr>
      </w:pPr>
      <w:r w:rsidRPr="002708B6">
        <w:rPr>
          <w:rFonts w:ascii="Times New Roman" w:hAnsi="Times New Roman" w:cs="Times New Roman"/>
          <w:sz w:val="24"/>
          <w:szCs w:val="24"/>
        </w:rPr>
        <w:t>References</w:t>
      </w:r>
    </w:p>
    <w:p w14:paraId="009AD33B" w14:textId="77777777" w:rsidR="00DC10BB" w:rsidRPr="002708B6" w:rsidRDefault="00C14DBF">
      <w:pPr>
        <w:spacing w:after="40" w:line="240" w:lineRule="auto"/>
        <w:ind w:left="504" w:hanging="504"/>
        <w:rPr>
          <w:rFonts w:cs="Times New Roman"/>
          <w:szCs w:val="24"/>
        </w:rPr>
      </w:pPr>
      <w:r w:rsidRPr="002708B6">
        <w:rPr>
          <w:rFonts w:cs="Times New Roman"/>
          <w:szCs w:val="24"/>
        </w:rPr>
        <w:t xml:space="preserve">India Meteorological Department. (2021). Standard operating procedure for </w:t>
      </w:r>
      <w:proofErr w:type="spellStart"/>
      <w:r w:rsidRPr="002708B6">
        <w:rPr>
          <w:rFonts w:cs="Times New Roman"/>
          <w:szCs w:val="24"/>
        </w:rPr>
        <w:t>agromet</w:t>
      </w:r>
      <w:proofErr w:type="spellEnd"/>
      <w:r w:rsidRPr="002708B6">
        <w:rPr>
          <w:rFonts w:cs="Times New Roman"/>
          <w:szCs w:val="24"/>
        </w:rPr>
        <w:t xml:space="preserve"> advisory services. Ministry of Earth Sciences. https://mausam.imd.gov.in/imd_latest/contents/pdf/gkms_sop.pdf</w:t>
      </w:r>
    </w:p>
    <w:p w14:paraId="4EA62732" w14:textId="77777777" w:rsidR="00DC10BB" w:rsidRPr="002708B6" w:rsidRDefault="00C14DBF">
      <w:pPr>
        <w:spacing w:after="40" w:line="240" w:lineRule="auto"/>
        <w:ind w:left="504" w:hanging="504"/>
        <w:rPr>
          <w:rFonts w:cs="Times New Roman"/>
          <w:szCs w:val="24"/>
        </w:rPr>
      </w:pPr>
      <w:r w:rsidRPr="002708B6">
        <w:rPr>
          <w:rFonts w:cs="Times New Roman"/>
          <w:szCs w:val="24"/>
        </w:rPr>
        <w:t xml:space="preserve">India Meteorological Department. (2026). Mausam SANKALP: Systematic </w:t>
      </w:r>
      <w:proofErr w:type="spellStart"/>
      <w:r w:rsidRPr="002708B6">
        <w:rPr>
          <w:rFonts w:cs="Times New Roman"/>
          <w:szCs w:val="24"/>
        </w:rPr>
        <w:t>Agromet</w:t>
      </w:r>
      <w:proofErr w:type="spellEnd"/>
      <w:r w:rsidRPr="002708B6">
        <w:rPr>
          <w:rFonts w:cs="Times New Roman"/>
          <w:szCs w:val="24"/>
        </w:rPr>
        <w:t xml:space="preserve"> </w:t>
      </w:r>
      <w:proofErr w:type="spellStart"/>
      <w:r w:rsidRPr="002708B6">
        <w:rPr>
          <w:rFonts w:cs="Times New Roman"/>
          <w:szCs w:val="24"/>
        </w:rPr>
        <w:t>aNalytics</w:t>
      </w:r>
      <w:proofErr w:type="spellEnd"/>
      <w:r w:rsidRPr="002708B6">
        <w:rPr>
          <w:rFonts w:cs="Times New Roman"/>
          <w:szCs w:val="24"/>
        </w:rPr>
        <w:t xml:space="preserve">, Knowledge and Advisory </w:t>
      </w:r>
      <w:proofErr w:type="spellStart"/>
      <w:r w:rsidRPr="002708B6">
        <w:rPr>
          <w:rFonts w:cs="Times New Roman"/>
          <w:szCs w:val="24"/>
        </w:rPr>
        <w:t>enabLing</w:t>
      </w:r>
      <w:proofErr w:type="spellEnd"/>
      <w:r w:rsidRPr="002708B6">
        <w:rPr>
          <w:rFonts w:cs="Times New Roman"/>
          <w:szCs w:val="24"/>
        </w:rPr>
        <w:t xml:space="preserve"> Platform. Ministry of Earth Sciences. https://mausam.imd.gov.in/imd_latest/contents/agromet/kalp/sankalp.pdf</w:t>
      </w:r>
    </w:p>
    <w:p w14:paraId="573A7BCF" w14:textId="77777777" w:rsidR="00DC10BB" w:rsidRPr="002708B6" w:rsidRDefault="00C14DBF">
      <w:pPr>
        <w:spacing w:after="40" w:line="240" w:lineRule="auto"/>
        <w:ind w:left="504" w:hanging="504"/>
        <w:rPr>
          <w:rFonts w:cs="Times New Roman"/>
          <w:szCs w:val="24"/>
        </w:rPr>
      </w:pPr>
      <w:r w:rsidRPr="002708B6">
        <w:rPr>
          <w:rFonts w:cs="Times New Roman"/>
          <w:szCs w:val="24"/>
        </w:rPr>
        <w:lastRenderedPageBreak/>
        <w:t>Kumar, A., Kumar, Y., Bhardwaj, M., &amp; Giri, R. K. (2024). Evaluation of INSAT-3DR Hydro-Estimator product for monsoon season rainfall at block-level and its utility in forecast verification: A case study in Karnal district, India. Mausam, 75(3), 759–768. https://doi.org/10.54302/mausam.v75i3.6216</w:t>
      </w:r>
    </w:p>
    <w:p w14:paraId="79ACA6E9" w14:textId="77777777" w:rsidR="00DC10BB" w:rsidRPr="002708B6" w:rsidRDefault="00C14DBF">
      <w:pPr>
        <w:spacing w:after="40" w:line="240" w:lineRule="auto"/>
        <w:ind w:left="504" w:hanging="504"/>
        <w:rPr>
          <w:rFonts w:cs="Times New Roman"/>
          <w:szCs w:val="24"/>
        </w:rPr>
      </w:pPr>
      <w:r w:rsidRPr="002708B6">
        <w:rPr>
          <w:rFonts w:cs="Times New Roman"/>
          <w:szCs w:val="24"/>
        </w:rPr>
        <w:t>Nepal, M., Ashfaq, M., Sharma, B. R., Shrestha, M. S., Khadgi, V. R., &amp; Bruno Soares, M. (2024). Impact of weather and climate advisories on agricultural outcomes in Pakistan. Scientific Reports, 14, Article 1036. https://doi.org/10.1038/s41598-023-51066-4</w:t>
      </w:r>
    </w:p>
    <w:p w14:paraId="6F8C3C5E" w14:textId="77777777" w:rsidR="00DC10BB" w:rsidRPr="002708B6" w:rsidRDefault="00C14DBF">
      <w:pPr>
        <w:spacing w:after="40" w:line="240" w:lineRule="auto"/>
        <w:ind w:left="504" w:hanging="504"/>
        <w:rPr>
          <w:rFonts w:cs="Times New Roman"/>
          <w:szCs w:val="24"/>
        </w:rPr>
      </w:pPr>
      <w:r w:rsidRPr="002708B6">
        <w:rPr>
          <w:rFonts w:cs="Times New Roman"/>
          <w:szCs w:val="24"/>
        </w:rPr>
        <w:t>Press Information Bureau. (2026, February 14). Artificial intelligence transforming Indian agriculture. Government of India. https://www.pib.gov.in/PressReleasePage.aspx?PRID=2227914</w:t>
      </w:r>
    </w:p>
    <w:p w14:paraId="71F4C893" w14:textId="77777777" w:rsidR="00DC10BB" w:rsidRPr="002708B6" w:rsidRDefault="00C14DBF">
      <w:pPr>
        <w:spacing w:after="40" w:line="240" w:lineRule="auto"/>
        <w:ind w:left="504" w:hanging="504"/>
        <w:rPr>
          <w:rFonts w:cs="Times New Roman"/>
          <w:szCs w:val="24"/>
        </w:rPr>
      </w:pPr>
      <w:r w:rsidRPr="002708B6">
        <w:rPr>
          <w:rFonts w:cs="Times New Roman"/>
          <w:szCs w:val="24"/>
        </w:rPr>
        <w:t>World Meteorological Organization. (n.d.). WMO technical advisory under AIM for Scale. Retrieved August 5, 2026, from https://wmo.int/activities/projects/project-portfolio/wmo-technical-advisory-under-aim-scale</w:t>
      </w:r>
    </w:p>
    <w:sectPr w:rsidR="00DC10BB" w:rsidRPr="002708B6" w:rsidSect="00034616">
      <w:footerReference w:type="default" r:id="rId11"/>
      <w:pgSz w:w="12240" w:h="15840"/>
      <w:pgMar w:top="936" w:right="1181" w:bottom="893" w:left="1181" w:header="720" w:footer="3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817B" w14:textId="77777777" w:rsidR="00F43D3A" w:rsidRDefault="00F43D3A">
      <w:pPr>
        <w:spacing w:after="0" w:line="240" w:lineRule="auto"/>
      </w:pPr>
      <w:r>
        <w:separator/>
      </w:r>
    </w:p>
  </w:endnote>
  <w:endnote w:type="continuationSeparator" w:id="0">
    <w:p w14:paraId="0CFFBAE7" w14:textId="77777777" w:rsidR="00F43D3A" w:rsidRDefault="00F43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66AB" w14:textId="6942C87F" w:rsidR="00DC10BB" w:rsidRDefault="00C14DBF">
    <w:pPr>
      <w:pStyle w:val="Footer"/>
      <w:jc w:val="center"/>
    </w:pPr>
    <w:r>
      <w:fldChar w:fldCharType="begin"/>
    </w:r>
    <w:r>
      <w:instrText>PAGE</w:instrText>
    </w:r>
    <w:r>
      <w:fldChar w:fldCharType="separate"/>
    </w:r>
    <w:r w:rsidR="002708B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1CB0" w14:textId="77777777" w:rsidR="00F43D3A" w:rsidRDefault="00F43D3A">
      <w:pPr>
        <w:spacing w:after="0" w:line="240" w:lineRule="auto"/>
      </w:pPr>
      <w:r>
        <w:separator/>
      </w:r>
    </w:p>
  </w:footnote>
  <w:footnote w:type="continuationSeparator" w:id="0">
    <w:p w14:paraId="5D179E89" w14:textId="77777777" w:rsidR="00F43D3A" w:rsidRDefault="00F43D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61795543">
    <w:abstractNumId w:val="8"/>
  </w:num>
  <w:num w:numId="2" w16cid:durableId="1023940382">
    <w:abstractNumId w:val="6"/>
  </w:num>
  <w:num w:numId="3" w16cid:durableId="940912324">
    <w:abstractNumId w:val="5"/>
  </w:num>
  <w:num w:numId="4" w16cid:durableId="904946893">
    <w:abstractNumId w:val="4"/>
  </w:num>
  <w:num w:numId="5" w16cid:durableId="1894922131">
    <w:abstractNumId w:val="7"/>
  </w:num>
  <w:num w:numId="6" w16cid:durableId="891699083">
    <w:abstractNumId w:val="3"/>
  </w:num>
  <w:num w:numId="7" w16cid:durableId="313804175">
    <w:abstractNumId w:val="2"/>
  </w:num>
  <w:num w:numId="8" w16cid:durableId="1824590199">
    <w:abstractNumId w:val="1"/>
  </w:num>
  <w:num w:numId="9" w16cid:durableId="543179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1606"/>
    <w:rsid w:val="0015074B"/>
    <w:rsid w:val="0023170C"/>
    <w:rsid w:val="002708B6"/>
    <w:rsid w:val="0029639D"/>
    <w:rsid w:val="00326F90"/>
    <w:rsid w:val="005A0A7C"/>
    <w:rsid w:val="006A054A"/>
    <w:rsid w:val="008A12C3"/>
    <w:rsid w:val="00922994"/>
    <w:rsid w:val="00955C9F"/>
    <w:rsid w:val="009E7E44"/>
    <w:rsid w:val="00A376B6"/>
    <w:rsid w:val="00A77D62"/>
    <w:rsid w:val="00A8647B"/>
    <w:rsid w:val="00A9041A"/>
    <w:rsid w:val="00AA1D8D"/>
    <w:rsid w:val="00B110FF"/>
    <w:rsid w:val="00B47730"/>
    <w:rsid w:val="00C14DBF"/>
    <w:rsid w:val="00C77B3A"/>
    <w:rsid w:val="00CB0664"/>
    <w:rsid w:val="00CF09FC"/>
    <w:rsid w:val="00DB10D5"/>
    <w:rsid w:val="00DC0890"/>
    <w:rsid w:val="00DC10BB"/>
    <w:rsid w:val="00E669D0"/>
    <w:rsid w:val="00E97214"/>
    <w:rsid w:val="00EA7E3C"/>
    <w:rsid w:val="00F40180"/>
    <w:rsid w:val="00F43D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51D7406-111E-4963-AC8C-B9AA95D46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jc w:val="both"/>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b/>
      <w:bCs/>
      <w:color w:val="15324A"/>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5324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403" w:hanging="259"/>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2027</Words>
  <Characters>11556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Forecast, Many Farms: Why Hyperlocal Weather Advice Can Still Fail Farmers</dc:title>
  <dc:subject>Popular article on hyperlocal weather advice and agricultural decision-making</dc:subject>
  <dc:creator>Dr. Chiranjit Mazumder</dc:creator>
  <cp:keywords/>
  <dc:description>generated by python-docx</dc:description>
  <cp:lastModifiedBy>Chiranjit Mazumder</cp:lastModifiedBy>
  <cp:revision>16</cp:revision>
  <dcterms:created xsi:type="dcterms:W3CDTF">2013-12-23T23:15:00Z</dcterms:created>
  <dcterms:modified xsi:type="dcterms:W3CDTF">2026-08-08T15:44:00Z</dcterms:modified>
  <cp:category/>
</cp:coreProperties>
</file>